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Pr="005842E9" w:rsidRDefault="00020801" w:rsidP="005842E9">
      <w:pPr>
        <w:jc w:val="center"/>
        <w:rPr>
          <w:sz w:val="32"/>
          <w:szCs w:val="32"/>
        </w:rPr>
      </w:pPr>
      <w:r w:rsidRPr="005842E9">
        <w:rPr>
          <w:sz w:val="32"/>
          <w:szCs w:val="32"/>
        </w:rPr>
        <w:t>Internal Scruti</w:t>
      </w:r>
      <w:r w:rsidR="00AE133A">
        <w:rPr>
          <w:sz w:val="32"/>
          <w:szCs w:val="32"/>
        </w:rPr>
        <w:t>ny Committee Work Programme 2019/20</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training</w:t>
      </w:r>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8"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w:t>
      </w:r>
      <w:bookmarkStart w:id="0" w:name="_GoBack"/>
      <w:bookmarkEnd w:id="0"/>
      <w:r w:rsidRPr="005842E9">
        <w:rPr>
          <w:szCs w:val="24"/>
        </w:rPr>
        <w:t>nd Scrutiny in the authority including training for County Councillors and Co-</w:t>
      </w:r>
      <w:proofErr w:type="spellStart"/>
      <w:r w:rsidRPr="005842E9">
        <w:rPr>
          <w:szCs w:val="24"/>
        </w:rPr>
        <w:t>optees</w:t>
      </w:r>
      <w:proofErr w:type="spellEnd"/>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5842E9" w:rsidRDefault="00FF3033" w:rsidP="00FF3033">
      <w:pPr>
        <w:rPr>
          <w:szCs w:val="24"/>
        </w:rPr>
      </w:pPr>
      <w:r w:rsidRPr="005842E9">
        <w:rPr>
          <w:szCs w:val="24"/>
        </w:rPr>
        <w:t>The Work Programme will be submitted to and agreed by the Scrutiny Committees at each meeting and will be published with each agenda.</w:t>
      </w:r>
      <w:r w:rsidR="00DC4153">
        <w:rPr>
          <w:szCs w:val="24"/>
        </w:rPr>
        <w:t xml:space="preserve">  </w:t>
      </w:r>
      <w:r w:rsidRPr="005842E9">
        <w:rPr>
          <w:szCs w:val="24"/>
        </w:rPr>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2150DB" w:rsidTr="00734C64">
        <w:trPr>
          <w:tblHeader/>
        </w:trPr>
        <w:tc>
          <w:tcPr>
            <w:tcW w:w="1631" w:type="dxa"/>
            <w:shd w:val="clear" w:color="auto" w:fill="BFBFBF" w:themeFill="background1" w:themeFillShade="BF"/>
          </w:tcPr>
          <w:p w:rsidR="00B40E68" w:rsidRPr="00520B45" w:rsidRDefault="00B40E68" w:rsidP="005F70B6">
            <w:pPr>
              <w:rPr>
                <w:b/>
                <w:szCs w:val="24"/>
              </w:rPr>
            </w:pPr>
            <w:r>
              <w:rPr>
                <w:b/>
                <w:szCs w:val="24"/>
              </w:rPr>
              <w:lastRenderedPageBreak/>
              <w:t>Topic</w:t>
            </w:r>
          </w:p>
        </w:tc>
        <w:tc>
          <w:tcPr>
            <w:tcW w:w="3614" w:type="dxa"/>
            <w:shd w:val="clear" w:color="auto" w:fill="BFBFBF" w:themeFill="background1" w:themeFillShade="BF"/>
          </w:tcPr>
          <w:p w:rsidR="00B40E68" w:rsidRDefault="00B40E68" w:rsidP="005F70B6">
            <w:pPr>
              <w:rPr>
                <w:b/>
                <w:szCs w:val="24"/>
              </w:rPr>
            </w:pPr>
            <w:r>
              <w:rPr>
                <w:b/>
                <w:szCs w:val="24"/>
              </w:rPr>
              <w:t>Scrutiny Purpose</w:t>
            </w:r>
          </w:p>
          <w:p w:rsidR="00B40E68" w:rsidRPr="00542EB9" w:rsidRDefault="00B40E68"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RDefault="00B40E68" w:rsidP="005F70B6">
            <w:pPr>
              <w:rPr>
                <w:b/>
                <w:szCs w:val="24"/>
              </w:rPr>
            </w:pPr>
            <w:r>
              <w:rPr>
                <w:b/>
                <w:szCs w:val="24"/>
              </w:rPr>
              <w:t xml:space="preserve">Scrutiny Method </w:t>
            </w:r>
          </w:p>
        </w:tc>
        <w:tc>
          <w:tcPr>
            <w:tcW w:w="1985" w:type="dxa"/>
            <w:shd w:val="clear" w:color="auto" w:fill="BFBFBF" w:themeFill="background1" w:themeFillShade="BF"/>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BFBFBF" w:themeFill="background1" w:themeFillShade="BF"/>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RDefault="00B40E68" w:rsidP="005F70B6">
            <w:pPr>
              <w:rPr>
                <w:b/>
                <w:szCs w:val="24"/>
              </w:rPr>
            </w:pPr>
            <w:r>
              <w:rPr>
                <w:b/>
                <w:szCs w:val="24"/>
              </w:rPr>
              <w:t>Recommendations</w:t>
            </w:r>
          </w:p>
        </w:tc>
        <w:tc>
          <w:tcPr>
            <w:tcW w:w="1701" w:type="dxa"/>
            <w:shd w:val="clear" w:color="auto" w:fill="BFBFBF" w:themeFill="background1" w:themeFillShade="BF"/>
          </w:tcPr>
          <w:p w:rsidR="00B40E68" w:rsidRPr="00520B45" w:rsidRDefault="00B40E68" w:rsidP="005F70B6">
            <w:pPr>
              <w:rPr>
                <w:b/>
                <w:szCs w:val="24"/>
              </w:rPr>
            </w:pPr>
            <w:r>
              <w:rPr>
                <w:b/>
                <w:szCs w:val="24"/>
              </w:rPr>
              <w:t>Progress</w:t>
            </w:r>
          </w:p>
        </w:tc>
      </w:tr>
      <w:tr w:rsidR="00334446" w:rsidTr="00734C64">
        <w:trPr>
          <w:trHeight w:val="261"/>
        </w:trPr>
        <w:tc>
          <w:tcPr>
            <w:tcW w:w="15168" w:type="dxa"/>
            <w:gridSpan w:val="7"/>
            <w:shd w:val="clear" w:color="auto" w:fill="D9D9D9" w:themeFill="background1" w:themeFillShade="D9"/>
          </w:tcPr>
          <w:p w:rsidR="00334446" w:rsidRDefault="00334446" w:rsidP="005F70B6">
            <w:pPr>
              <w:rPr>
                <w:szCs w:val="24"/>
              </w:rPr>
            </w:pPr>
            <w:r>
              <w:rPr>
                <w:szCs w:val="24"/>
              </w:rPr>
              <w:t>Meeting</w:t>
            </w:r>
          </w:p>
        </w:tc>
      </w:tr>
      <w:tr w:rsidR="0043738F" w:rsidTr="00734C64">
        <w:trPr>
          <w:trHeight w:val="510"/>
        </w:trPr>
        <w:tc>
          <w:tcPr>
            <w:tcW w:w="1631" w:type="dxa"/>
          </w:tcPr>
          <w:p w:rsidR="00E701DC" w:rsidRPr="0088749B" w:rsidRDefault="00470902" w:rsidP="005F70B6">
            <w:pPr>
              <w:rPr>
                <w:szCs w:val="24"/>
              </w:rPr>
            </w:pPr>
            <w:r w:rsidRPr="0088749B">
              <w:rPr>
                <w:szCs w:val="24"/>
              </w:rPr>
              <w:t xml:space="preserve">Highway Adoption and the Process Involved </w:t>
            </w:r>
          </w:p>
        </w:tc>
        <w:tc>
          <w:tcPr>
            <w:tcW w:w="3614" w:type="dxa"/>
          </w:tcPr>
          <w:p w:rsidR="00E701DC" w:rsidRDefault="00470902" w:rsidP="005F70B6">
            <w:pPr>
              <w:rPr>
                <w:szCs w:val="24"/>
              </w:rPr>
            </w:pPr>
            <w:r w:rsidRPr="0088749B">
              <w:rPr>
                <w:szCs w:val="24"/>
              </w:rPr>
              <w:t>To better understand the processes involved in the adoption of a highwa</w:t>
            </w:r>
            <w:r w:rsidR="0041766B">
              <w:rPr>
                <w:szCs w:val="24"/>
              </w:rPr>
              <w:t xml:space="preserve">y and to understand the </w:t>
            </w:r>
            <w:r w:rsidRPr="0088749B">
              <w:rPr>
                <w:szCs w:val="24"/>
              </w:rPr>
              <w:t xml:space="preserve">criteria involved for a road to be adopted. </w:t>
            </w:r>
          </w:p>
          <w:p w:rsidR="001B6950" w:rsidRPr="0088749B" w:rsidRDefault="001B6950" w:rsidP="005F70B6">
            <w:pPr>
              <w:rPr>
                <w:szCs w:val="24"/>
              </w:rPr>
            </w:pPr>
          </w:p>
        </w:tc>
        <w:tc>
          <w:tcPr>
            <w:tcW w:w="1843" w:type="dxa"/>
          </w:tcPr>
          <w:p w:rsidR="00E701DC" w:rsidRPr="0088749B" w:rsidRDefault="00470902" w:rsidP="005F70B6">
            <w:pPr>
              <w:rPr>
                <w:szCs w:val="24"/>
              </w:rPr>
            </w:pPr>
            <w:r w:rsidRPr="0088749B">
              <w:rPr>
                <w:szCs w:val="24"/>
              </w:rPr>
              <w:t>Committee meeting</w:t>
            </w:r>
          </w:p>
        </w:tc>
        <w:tc>
          <w:tcPr>
            <w:tcW w:w="1985" w:type="dxa"/>
          </w:tcPr>
          <w:p w:rsidR="00AE604E" w:rsidRPr="0088749B" w:rsidRDefault="00470902" w:rsidP="005F70B6">
            <w:pPr>
              <w:rPr>
                <w:szCs w:val="24"/>
              </w:rPr>
            </w:pPr>
            <w:r w:rsidRPr="0088749B">
              <w:rPr>
                <w:szCs w:val="24"/>
              </w:rPr>
              <w:t>Neil Stevens</w:t>
            </w:r>
          </w:p>
        </w:tc>
        <w:tc>
          <w:tcPr>
            <w:tcW w:w="1417" w:type="dxa"/>
          </w:tcPr>
          <w:p w:rsidR="00E701DC" w:rsidRPr="0088749B" w:rsidRDefault="00470902" w:rsidP="005F70B6">
            <w:pPr>
              <w:rPr>
                <w:szCs w:val="24"/>
              </w:rPr>
            </w:pPr>
            <w:r w:rsidRPr="0088749B">
              <w:rPr>
                <w:szCs w:val="24"/>
              </w:rPr>
              <w:t>27 September 2019</w:t>
            </w:r>
          </w:p>
        </w:tc>
        <w:tc>
          <w:tcPr>
            <w:tcW w:w="2977" w:type="dxa"/>
          </w:tcPr>
          <w:p w:rsidR="00E701DC" w:rsidRPr="0088749B" w:rsidRDefault="00E701DC" w:rsidP="00AE604E">
            <w:pPr>
              <w:contextualSpacing/>
              <w:jc w:val="both"/>
              <w:rPr>
                <w:szCs w:val="24"/>
              </w:rPr>
            </w:pPr>
          </w:p>
        </w:tc>
        <w:tc>
          <w:tcPr>
            <w:tcW w:w="1701" w:type="dxa"/>
          </w:tcPr>
          <w:p w:rsidR="00E701DC" w:rsidRPr="00C3060F" w:rsidRDefault="00E701DC" w:rsidP="005F70B6">
            <w:pPr>
              <w:rPr>
                <w:szCs w:val="24"/>
                <w:highlight w:val="yellow"/>
              </w:rPr>
            </w:pPr>
          </w:p>
        </w:tc>
      </w:tr>
      <w:tr w:rsidR="0043738F" w:rsidTr="00734C64">
        <w:trPr>
          <w:trHeight w:val="510"/>
        </w:trPr>
        <w:tc>
          <w:tcPr>
            <w:tcW w:w="1631" w:type="dxa"/>
          </w:tcPr>
          <w:p w:rsidR="00E701DC" w:rsidRDefault="00470902" w:rsidP="00AE604E">
            <w:pPr>
              <w:rPr>
                <w:szCs w:val="24"/>
              </w:rPr>
            </w:pPr>
            <w:r>
              <w:rPr>
                <w:szCs w:val="24"/>
              </w:rPr>
              <w:t xml:space="preserve">Update on Reducing Single Use Plastics in Lancashire </w:t>
            </w:r>
          </w:p>
        </w:tc>
        <w:tc>
          <w:tcPr>
            <w:tcW w:w="3614" w:type="dxa"/>
          </w:tcPr>
          <w:p w:rsidR="00A70227" w:rsidRDefault="00470902" w:rsidP="00607D98">
            <w:pPr>
              <w:rPr>
                <w:szCs w:val="24"/>
              </w:rPr>
            </w:pPr>
            <w:r>
              <w:rPr>
                <w:szCs w:val="24"/>
              </w:rPr>
              <w:t xml:space="preserve">An update report on the ongoing work </w:t>
            </w:r>
            <w:r w:rsidR="00607D98">
              <w:rPr>
                <w:szCs w:val="24"/>
              </w:rPr>
              <w:t xml:space="preserve">to reduce </w:t>
            </w:r>
            <w:r>
              <w:rPr>
                <w:szCs w:val="24"/>
              </w:rPr>
              <w:t>single use plas</w:t>
            </w:r>
            <w:r w:rsidR="00607D98">
              <w:rPr>
                <w:szCs w:val="24"/>
              </w:rPr>
              <w:t xml:space="preserve">tics within the county council and the development of a strategy to make LCC a SUP free authority where possible and feasible. </w:t>
            </w:r>
          </w:p>
          <w:p w:rsidR="001B6950" w:rsidRDefault="001B6950" w:rsidP="00607D98">
            <w:pPr>
              <w:rPr>
                <w:szCs w:val="24"/>
              </w:rPr>
            </w:pPr>
          </w:p>
        </w:tc>
        <w:tc>
          <w:tcPr>
            <w:tcW w:w="1843" w:type="dxa"/>
          </w:tcPr>
          <w:p w:rsidR="00E701DC" w:rsidRDefault="00607D98" w:rsidP="005F70B6">
            <w:pPr>
              <w:rPr>
                <w:szCs w:val="24"/>
              </w:rPr>
            </w:pPr>
            <w:r>
              <w:rPr>
                <w:szCs w:val="24"/>
              </w:rPr>
              <w:t>Committee meeting</w:t>
            </w:r>
          </w:p>
        </w:tc>
        <w:tc>
          <w:tcPr>
            <w:tcW w:w="1985" w:type="dxa"/>
          </w:tcPr>
          <w:p w:rsidR="00C249DD" w:rsidRPr="00AE604E" w:rsidRDefault="00607D98" w:rsidP="00AE604E">
            <w:pPr>
              <w:rPr>
                <w:szCs w:val="24"/>
              </w:rPr>
            </w:pPr>
            <w:r>
              <w:rPr>
                <w:szCs w:val="24"/>
              </w:rPr>
              <w:t>Mike K</w:t>
            </w:r>
            <w:r w:rsidR="002150DB">
              <w:rPr>
                <w:szCs w:val="24"/>
              </w:rPr>
              <w:t xml:space="preserve">irby, Clare Johnson, Steve </w:t>
            </w:r>
            <w:r w:rsidR="00A26619">
              <w:rPr>
                <w:szCs w:val="24"/>
              </w:rPr>
              <w:t>Scott</w:t>
            </w:r>
            <w:r w:rsidR="002150DB">
              <w:rPr>
                <w:szCs w:val="24"/>
              </w:rPr>
              <w:t xml:space="preserve">, </w:t>
            </w:r>
            <w:r w:rsidR="00A26619">
              <w:rPr>
                <w:szCs w:val="24"/>
              </w:rPr>
              <w:t>William Maxwell</w:t>
            </w:r>
            <w:r>
              <w:rPr>
                <w:szCs w:val="24"/>
              </w:rPr>
              <w:t>, Rachel Tanner, Ginette Unsworth, Ajay Sethi</w:t>
            </w:r>
            <w:r w:rsidR="002150DB">
              <w:rPr>
                <w:szCs w:val="24"/>
              </w:rPr>
              <w:t xml:space="preserve">, </w:t>
            </w:r>
            <w:r w:rsidR="00A26619">
              <w:rPr>
                <w:szCs w:val="24"/>
              </w:rPr>
              <w:t>Nigel Craine</w:t>
            </w:r>
            <w:r w:rsidR="002150DB">
              <w:rPr>
                <w:szCs w:val="24"/>
              </w:rPr>
              <w:t xml:space="preserve">, </w:t>
            </w:r>
            <w:r w:rsidR="00C249DD">
              <w:rPr>
                <w:szCs w:val="24"/>
              </w:rPr>
              <w:t>CC Albert Atkinson</w:t>
            </w:r>
          </w:p>
        </w:tc>
        <w:tc>
          <w:tcPr>
            <w:tcW w:w="1417" w:type="dxa"/>
          </w:tcPr>
          <w:p w:rsidR="00E701DC" w:rsidRDefault="00607D98" w:rsidP="005F70B6">
            <w:pPr>
              <w:rPr>
                <w:szCs w:val="24"/>
              </w:rPr>
            </w:pPr>
            <w:r>
              <w:rPr>
                <w:szCs w:val="24"/>
              </w:rPr>
              <w:t>27 September 2019</w:t>
            </w:r>
          </w:p>
        </w:tc>
        <w:tc>
          <w:tcPr>
            <w:tcW w:w="2977" w:type="dxa"/>
          </w:tcPr>
          <w:p w:rsidR="00E701DC" w:rsidRDefault="00607D98" w:rsidP="00AE604E">
            <w:pPr>
              <w:contextualSpacing/>
              <w:jc w:val="both"/>
              <w:rPr>
                <w:szCs w:val="24"/>
              </w:rPr>
            </w:pPr>
            <w:r>
              <w:rPr>
                <w:szCs w:val="24"/>
              </w:rPr>
              <w:t>The update to be noted.</w:t>
            </w:r>
            <w:r w:rsidR="00A26619">
              <w:rPr>
                <w:szCs w:val="24"/>
              </w:rPr>
              <w:t xml:space="preserve"> Further updates to be provided as appropriate. </w:t>
            </w:r>
          </w:p>
        </w:tc>
        <w:tc>
          <w:tcPr>
            <w:tcW w:w="1701" w:type="dxa"/>
          </w:tcPr>
          <w:p w:rsidR="00E701DC" w:rsidRPr="00C55743" w:rsidRDefault="00607D98" w:rsidP="00C55743">
            <w:pPr>
              <w:rPr>
                <w:szCs w:val="24"/>
              </w:rPr>
            </w:pPr>
            <w:r>
              <w:rPr>
                <w:szCs w:val="24"/>
              </w:rPr>
              <w:t xml:space="preserve">Bite Size Briefing for Members scheduled for </w:t>
            </w:r>
            <w:r w:rsidR="00DB4102">
              <w:rPr>
                <w:szCs w:val="24"/>
              </w:rPr>
              <w:t xml:space="preserve">9 </w:t>
            </w:r>
            <w:r>
              <w:rPr>
                <w:szCs w:val="24"/>
              </w:rPr>
              <w:t xml:space="preserve">October 2019. </w:t>
            </w:r>
          </w:p>
        </w:tc>
      </w:tr>
      <w:tr w:rsidR="0088749B" w:rsidTr="00734C64">
        <w:trPr>
          <w:trHeight w:val="510"/>
        </w:trPr>
        <w:tc>
          <w:tcPr>
            <w:tcW w:w="1631" w:type="dxa"/>
            <w:tcBorders>
              <w:bottom w:val="single" w:sz="4" w:space="0" w:color="auto"/>
            </w:tcBorders>
          </w:tcPr>
          <w:p w:rsidR="0088749B" w:rsidRDefault="0088749B" w:rsidP="0088749B">
            <w:pPr>
              <w:rPr>
                <w:szCs w:val="24"/>
              </w:rPr>
            </w:pPr>
            <w:r>
              <w:rPr>
                <w:szCs w:val="24"/>
              </w:rPr>
              <w:t>Budget savings update</w:t>
            </w:r>
          </w:p>
        </w:tc>
        <w:tc>
          <w:tcPr>
            <w:tcW w:w="3614" w:type="dxa"/>
            <w:tcBorders>
              <w:bottom w:val="single" w:sz="4" w:space="0" w:color="auto"/>
            </w:tcBorders>
          </w:tcPr>
          <w:p w:rsidR="0088749B" w:rsidRDefault="0088749B" w:rsidP="0088749B">
            <w:pPr>
              <w:rPr>
                <w:szCs w:val="24"/>
              </w:rPr>
            </w:pPr>
            <w:r>
              <w:rPr>
                <w:szCs w:val="24"/>
              </w:rPr>
              <w:t xml:space="preserve">Further update to the budget savings impact </w:t>
            </w:r>
            <w:r w:rsidR="00747607">
              <w:rPr>
                <w:szCs w:val="24"/>
              </w:rPr>
              <w:t xml:space="preserve">agreed in 2018/19 </w:t>
            </w:r>
            <w:r>
              <w:rPr>
                <w:szCs w:val="24"/>
              </w:rPr>
              <w:t xml:space="preserve">on services as agreed at the January 2019 meeting.  </w:t>
            </w:r>
          </w:p>
          <w:p w:rsidR="0088749B" w:rsidRDefault="0088749B" w:rsidP="0088749B">
            <w:pPr>
              <w:rPr>
                <w:szCs w:val="24"/>
              </w:rPr>
            </w:pPr>
          </w:p>
        </w:tc>
        <w:tc>
          <w:tcPr>
            <w:tcW w:w="1843" w:type="dxa"/>
            <w:tcBorders>
              <w:bottom w:val="single" w:sz="4" w:space="0" w:color="auto"/>
            </w:tcBorders>
          </w:tcPr>
          <w:p w:rsidR="0088749B" w:rsidRDefault="0088749B" w:rsidP="0088749B">
            <w:pPr>
              <w:rPr>
                <w:szCs w:val="24"/>
              </w:rPr>
            </w:pPr>
            <w:r>
              <w:rPr>
                <w:szCs w:val="24"/>
              </w:rPr>
              <w:t>Committee meeting</w:t>
            </w:r>
          </w:p>
        </w:tc>
        <w:tc>
          <w:tcPr>
            <w:tcW w:w="1985" w:type="dxa"/>
            <w:tcBorders>
              <w:bottom w:val="single" w:sz="4" w:space="0" w:color="auto"/>
            </w:tcBorders>
          </w:tcPr>
          <w:p w:rsidR="0088749B" w:rsidRDefault="0088749B" w:rsidP="0088749B">
            <w:pPr>
              <w:rPr>
                <w:szCs w:val="24"/>
              </w:rPr>
            </w:pPr>
            <w:r>
              <w:rPr>
                <w:szCs w:val="24"/>
              </w:rPr>
              <w:t>Richard Hothersall/Neil Kissock</w:t>
            </w:r>
          </w:p>
        </w:tc>
        <w:tc>
          <w:tcPr>
            <w:tcW w:w="1417" w:type="dxa"/>
            <w:tcBorders>
              <w:bottom w:val="single" w:sz="4" w:space="0" w:color="auto"/>
            </w:tcBorders>
          </w:tcPr>
          <w:p w:rsidR="0088749B" w:rsidRDefault="0088749B" w:rsidP="0088749B">
            <w:pPr>
              <w:rPr>
                <w:szCs w:val="24"/>
              </w:rPr>
            </w:pPr>
            <w:r>
              <w:rPr>
                <w:szCs w:val="24"/>
              </w:rPr>
              <w:t>15 November 2019</w:t>
            </w:r>
          </w:p>
        </w:tc>
        <w:tc>
          <w:tcPr>
            <w:tcW w:w="2977" w:type="dxa"/>
            <w:tcBorders>
              <w:bottom w:val="single" w:sz="4" w:space="0" w:color="auto"/>
            </w:tcBorders>
          </w:tcPr>
          <w:p w:rsidR="0088749B" w:rsidRPr="005610AC" w:rsidRDefault="0088749B" w:rsidP="0088749B">
            <w:pPr>
              <w:contextualSpacing/>
              <w:rPr>
                <w:rFonts w:eastAsia="Times New Roman" w:cs="Arial"/>
                <w:bCs/>
                <w:szCs w:val="24"/>
                <w:highlight w:val="yellow"/>
              </w:rPr>
            </w:pPr>
          </w:p>
        </w:tc>
        <w:tc>
          <w:tcPr>
            <w:tcW w:w="1701" w:type="dxa"/>
            <w:tcBorders>
              <w:bottom w:val="single" w:sz="4" w:space="0" w:color="auto"/>
            </w:tcBorders>
          </w:tcPr>
          <w:p w:rsidR="0088749B" w:rsidRPr="005610AC" w:rsidRDefault="0088749B" w:rsidP="0088749B">
            <w:pPr>
              <w:rPr>
                <w:szCs w:val="24"/>
                <w:highlight w:val="yellow"/>
              </w:rPr>
            </w:pPr>
          </w:p>
        </w:tc>
      </w:tr>
      <w:tr w:rsidR="00132709" w:rsidTr="00734C64">
        <w:trPr>
          <w:trHeight w:val="510"/>
        </w:trPr>
        <w:tc>
          <w:tcPr>
            <w:tcW w:w="1631" w:type="dxa"/>
            <w:tcBorders>
              <w:bottom w:val="single" w:sz="4" w:space="0" w:color="auto"/>
            </w:tcBorders>
          </w:tcPr>
          <w:p w:rsidR="00132709" w:rsidRDefault="00132709" w:rsidP="00132709">
            <w:pPr>
              <w:rPr>
                <w:szCs w:val="24"/>
              </w:rPr>
            </w:pPr>
            <w:r>
              <w:rPr>
                <w:szCs w:val="24"/>
              </w:rPr>
              <w:t>Blue Badges</w:t>
            </w:r>
          </w:p>
        </w:tc>
        <w:tc>
          <w:tcPr>
            <w:tcW w:w="3614" w:type="dxa"/>
            <w:tcBorders>
              <w:bottom w:val="single" w:sz="4" w:space="0" w:color="auto"/>
            </w:tcBorders>
          </w:tcPr>
          <w:p w:rsidR="00132709" w:rsidRDefault="00132709" w:rsidP="00132709">
            <w:pPr>
              <w:rPr>
                <w:szCs w:val="24"/>
              </w:rPr>
            </w:pPr>
            <w:r>
              <w:rPr>
                <w:szCs w:val="24"/>
              </w:rPr>
              <w:t>Impact following changes to legislation.</w:t>
            </w:r>
          </w:p>
        </w:tc>
        <w:tc>
          <w:tcPr>
            <w:tcW w:w="1843" w:type="dxa"/>
            <w:tcBorders>
              <w:bottom w:val="single" w:sz="4" w:space="0" w:color="auto"/>
            </w:tcBorders>
          </w:tcPr>
          <w:p w:rsidR="00132709" w:rsidRDefault="00132709" w:rsidP="00132709">
            <w:pPr>
              <w:rPr>
                <w:szCs w:val="24"/>
              </w:rPr>
            </w:pPr>
            <w:r>
              <w:rPr>
                <w:szCs w:val="24"/>
              </w:rPr>
              <w:t>Committee meeting</w:t>
            </w:r>
          </w:p>
        </w:tc>
        <w:tc>
          <w:tcPr>
            <w:tcW w:w="1985" w:type="dxa"/>
            <w:tcBorders>
              <w:bottom w:val="single" w:sz="4" w:space="0" w:color="auto"/>
            </w:tcBorders>
          </w:tcPr>
          <w:p w:rsidR="00132709" w:rsidRDefault="00132709" w:rsidP="00132709">
            <w:pPr>
              <w:rPr>
                <w:szCs w:val="24"/>
              </w:rPr>
            </w:pPr>
            <w:r>
              <w:rPr>
                <w:szCs w:val="24"/>
              </w:rPr>
              <w:t>Sarah Jenkins/</w:t>
            </w:r>
          </w:p>
          <w:p w:rsidR="00132709" w:rsidRPr="00AB210D" w:rsidRDefault="00132709" w:rsidP="00132709">
            <w:pPr>
              <w:rPr>
                <w:szCs w:val="24"/>
              </w:rPr>
            </w:pPr>
            <w:r w:rsidRPr="00AB210D">
              <w:t xml:space="preserve">Ben </w:t>
            </w:r>
            <w:proofErr w:type="spellStart"/>
            <w:r w:rsidRPr="00AB210D">
              <w:t>Zebrowski</w:t>
            </w:r>
            <w:proofErr w:type="spellEnd"/>
          </w:p>
          <w:p w:rsidR="00132709" w:rsidRDefault="00132709" w:rsidP="00132709">
            <w:pPr>
              <w:rPr>
                <w:szCs w:val="24"/>
              </w:rPr>
            </w:pPr>
            <w:r>
              <w:rPr>
                <w:szCs w:val="24"/>
              </w:rPr>
              <w:t>CC Peter Buckley</w:t>
            </w:r>
          </w:p>
        </w:tc>
        <w:tc>
          <w:tcPr>
            <w:tcW w:w="1417" w:type="dxa"/>
            <w:tcBorders>
              <w:bottom w:val="single" w:sz="4" w:space="0" w:color="auto"/>
            </w:tcBorders>
          </w:tcPr>
          <w:p w:rsidR="00132709" w:rsidRDefault="00132709" w:rsidP="00132709">
            <w:pPr>
              <w:rPr>
                <w:szCs w:val="24"/>
              </w:rPr>
            </w:pPr>
            <w:r>
              <w:rPr>
                <w:szCs w:val="24"/>
              </w:rPr>
              <w:t>15 November 2019</w:t>
            </w:r>
          </w:p>
        </w:tc>
        <w:tc>
          <w:tcPr>
            <w:tcW w:w="2977" w:type="dxa"/>
            <w:tcBorders>
              <w:bottom w:val="single" w:sz="4" w:space="0" w:color="auto"/>
            </w:tcBorders>
          </w:tcPr>
          <w:p w:rsidR="00132709" w:rsidRPr="005610AC" w:rsidRDefault="00132709" w:rsidP="00132709">
            <w:pPr>
              <w:contextualSpacing/>
              <w:rPr>
                <w:rFonts w:eastAsia="Times New Roman" w:cs="Arial"/>
                <w:bCs/>
                <w:szCs w:val="24"/>
                <w:highlight w:val="yellow"/>
              </w:rPr>
            </w:pPr>
          </w:p>
        </w:tc>
        <w:tc>
          <w:tcPr>
            <w:tcW w:w="1701" w:type="dxa"/>
            <w:tcBorders>
              <w:bottom w:val="single" w:sz="4" w:space="0" w:color="auto"/>
            </w:tcBorders>
          </w:tcPr>
          <w:p w:rsidR="00132709" w:rsidRPr="005610AC" w:rsidRDefault="00132709" w:rsidP="00132709">
            <w:pPr>
              <w:rPr>
                <w:szCs w:val="24"/>
                <w:highlight w:val="yellow"/>
              </w:rPr>
            </w:pPr>
          </w:p>
        </w:tc>
      </w:tr>
      <w:tr w:rsidR="00D00C43" w:rsidTr="00734C64">
        <w:trPr>
          <w:trHeight w:val="510"/>
        </w:trPr>
        <w:tc>
          <w:tcPr>
            <w:tcW w:w="1631" w:type="dxa"/>
            <w:tcBorders>
              <w:bottom w:val="single" w:sz="4" w:space="0" w:color="auto"/>
            </w:tcBorders>
          </w:tcPr>
          <w:p w:rsidR="002150DB" w:rsidRDefault="00D00C43" w:rsidP="001B6950">
            <w:pPr>
              <w:rPr>
                <w:szCs w:val="24"/>
              </w:rPr>
            </w:pPr>
            <w:r>
              <w:rPr>
                <w:szCs w:val="24"/>
              </w:rPr>
              <w:t>Corporate Strategy Performance</w:t>
            </w:r>
            <w:r w:rsidR="002150DB">
              <w:rPr>
                <w:szCs w:val="24"/>
              </w:rPr>
              <w:t xml:space="preserve"> Monitoring </w:t>
            </w:r>
          </w:p>
          <w:p w:rsidR="00D00C43" w:rsidRPr="004D643B" w:rsidRDefault="00D00C43" w:rsidP="001B6950">
            <w:pPr>
              <w:rPr>
                <w:szCs w:val="24"/>
              </w:rPr>
            </w:pPr>
            <w:r>
              <w:rPr>
                <w:szCs w:val="24"/>
              </w:rPr>
              <w:t xml:space="preserve">Proposals </w:t>
            </w:r>
          </w:p>
        </w:tc>
        <w:tc>
          <w:tcPr>
            <w:tcW w:w="3614" w:type="dxa"/>
            <w:tcBorders>
              <w:bottom w:val="single" w:sz="4" w:space="0" w:color="auto"/>
            </w:tcBorders>
          </w:tcPr>
          <w:p w:rsidR="002150DB" w:rsidRDefault="00D00C43" w:rsidP="001B6950">
            <w:pPr>
              <w:rPr>
                <w:szCs w:val="24"/>
              </w:rPr>
            </w:pPr>
            <w:r>
              <w:rPr>
                <w:szCs w:val="24"/>
              </w:rPr>
              <w:t xml:space="preserve">To consider the suggested targets for </w:t>
            </w:r>
            <w:r w:rsidR="00C249DD">
              <w:rPr>
                <w:szCs w:val="24"/>
              </w:rPr>
              <w:t xml:space="preserve">the key metric </w:t>
            </w:r>
            <w:r>
              <w:rPr>
                <w:szCs w:val="24"/>
              </w:rPr>
              <w:t>indicators</w:t>
            </w:r>
            <w:r w:rsidR="00C249DD">
              <w:rPr>
                <w:szCs w:val="24"/>
              </w:rPr>
              <w:t>.</w:t>
            </w:r>
          </w:p>
          <w:p w:rsidR="002150DB" w:rsidRPr="004D643B" w:rsidRDefault="002150DB" w:rsidP="001B6950">
            <w:pPr>
              <w:rPr>
                <w:szCs w:val="24"/>
              </w:rPr>
            </w:pPr>
          </w:p>
        </w:tc>
        <w:tc>
          <w:tcPr>
            <w:tcW w:w="1843" w:type="dxa"/>
            <w:tcBorders>
              <w:bottom w:val="single" w:sz="4" w:space="0" w:color="auto"/>
            </w:tcBorders>
          </w:tcPr>
          <w:p w:rsidR="00D00C43" w:rsidRPr="004D643B" w:rsidRDefault="00A26619" w:rsidP="001B6950">
            <w:pPr>
              <w:rPr>
                <w:szCs w:val="24"/>
              </w:rPr>
            </w:pPr>
            <w:r>
              <w:rPr>
                <w:szCs w:val="24"/>
              </w:rPr>
              <w:t>Committee Meeting</w:t>
            </w:r>
          </w:p>
        </w:tc>
        <w:tc>
          <w:tcPr>
            <w:tcW w:w="1985" w:type="dxa"/>
            <w:tcBorders>
              <w:bottom w:val="single" w:sz="4" w:space="0" w:color="auto"/>
            </w:tcBorders>
          </w:tcPr>
          <w:p w:rsidR="00D00C43" w:rsidRPr="004D643B" w:rsidRDefault="00A26619" w:rsidP="001B6950">
            <w:pPr>
              <w:rPr>
                <w:szCs w:val="24"/>
              </w:rPr>
            </w:pPr>
            <w:r>
              <w:rPr>
                <w:szCs w:val="24"/>
              </w:rPr>
              <w:t>Donna Talbot</w:t>
            </w:r>
            <w:r w:rsidR="00C249DD">
              <w:rPr>
                <w:szCs w:val="24"/>
              </w:rPr>
              <w:t>/Mike Kirby</w:t>
            </w:r>
          </w:p>
        </w:tc>
        <w:tc>
          <w:tcPr>
            <w:tcW w:w="1417" w:type="dxa"/>
            <w:tcBorders>
              <w:bottom w:val="single" w:sz="4" w:space="0" w:color="auto"/>
            </w:tcBorders>
          </w:tcPr>
          <w:p w:rsidR="00D00C43" w:rsidRPr="004D643B" w:rsidRDefault="00D00C43" w:rsidP="001B6950">
            <w:pPr>
              <w:rPr>
                <w:szCs w:val="24"/>
              </w:rPr>
            </w:pPr>
            <w:r>
              <w:rPr>
                <w:szCs w:val="24"/>
              </w:rPr>
              <w:t>15 November 2019</w:t>
            </w:r>
          </w:p>
        </w:tc>
        <w:tc>
          <w:tcPr>
            <w:tcW w:w="2977" w:type="dxa"/>
            <w:tcBorders>
              <w:bottom w:val="single" w:sz="4" w:space="0" w:color="auto"/>
            </w:tcBorders>
          </w:tcPr>
          <w:p w:rsidR="00D00C43" w:rsidRDefault="00D00C43" w:rsidP="001B6950">
            <w:pPr>
              <w:rPr>
                <w:szCs w:val="24"/>
              </w:rPr>
            </w:pPr>
          </w:p>
        </w:tc>
        <w:tc>
          <w:tcPr>
            <w:tcW w:w="1701" w:type="dxa"/>
            <w:tcBorders>
              <w:bottom w:val="single" w:sz="4" w:space="0" w:color="auto"/>
            </w:tcBorders>
          </w:tcPr>
          <w:p w:rsidR="00D00C43" w:rsidRDefault="00D00C43" w:rsidP="001B6950">
            <w:pPr>
              <w:rPr>
                <w:szCs w:val="24"/>
              </w:rPr>
            </w:pPr>
          </w:p>
        </w:tc>
      </w:tr>
      <w:tr w:rsidR="001B6950" w:rsidTr="00734C64">
        <w:trPr>
          <w:trHeight w:val="510"/>
        </w:trPr>
        <w:tc>
          <w:tcPr>
            <w:tcW w:w="1631" w:type="dxa"/>
            <w:tcBorders>
              <w:bottom w:val="single" w:sz="4" w:space="0" w:color="auto"/>
            </w:tcBorders>
          </w:tcPr>
          <w:p w:rsidR="001B6950" w:rsidRPr="004D643B" w:rsidRDefault="001B6950" w:rsidP="001B6950">
            <w:pPr>
              <w:rPr>
                <w:szCs w:val="24"/>
              </w:rPr>
            </w:pPr>
            <w:r w:rsidRPr="004D643B">
              <w:rPr>
                <w:szCs w:val="24"/>
              </w:rPr>
              <w:lastRenderedPageBreak/>
              <w:t xml:space="preserve">Pot Holes and Blocked Gullies </w:t>
            </w:r>
          </w:p>
        </w:tc>
        <w:tc>
          <w:tcPr>
            <w:tcW w:w="3614" w:type="dxa"/>
            <w:tcBorders>
              <w:bottom w:val="single" w:sz="4" w:space="0" w:color="auto"/>
            </w:tcBorders>
          </w:tcPr>
          <w:p w:rsidR="001B6950" w:rsidRPr="004D643B" w:rsidRDefault="001B6950" w:rsidP="001B6950">
            <w:pPr>
              <w:rPr>
                <w:szCs w:val="24"/>
              </w:rPr>
            </w:pPr>
            <w:r w:rsidRPr="004D643B">
              <w:rPr>
                <w:szCs w:val="24"/>
              </w:rPr>
              <w:t xml:space="preserve">Update report on progress with pot holes following a report to the committee last year. Request to include blocked gullies. </w:t>
            </w:r>
          </w:p>
        </w:tc>
        <w:tc>
          <w:tcPr>
            <w:tcW w:w="1843" w:type="dxa"/>
            <w:tcBorders>
              <w:bottom w:val="single" w:sz="4" w:space="0" w:color="auto"/>
            </w:tcBorders>
          </w:tcPr>
          <w:p w:rsidR="001B6950" w:rsidRPr="004D643B" w:rsidRDefault="001B6950" w:rsidP="001B6950">
            <w:pPr>
              <w:rPr>
                <w:szCs w:val="24"/>
              </w:rPr>
            </w:pPr>
            <w:r w:rsidRPr="004D643B">
              <w:rPr>
                <w:szCs w:val="24"/>
              </w:rPr>
              <w:t>Committee Meeting</w:t>
            </w:r>
          </w:p>
        </w:tc>
        <w:tc>
          <w:tcPr>
            <w:tcW w:w="1985" w:type="dxa"/>
            <w:tcBorders>
              <w:bottom w:val="single" w:sz="4" w:space="0" w:color="auto"/>
            </w:tcBorders>
          </w:tcPr>
          <w:p w:rsidR="001B6950" w:rsidRPr="004D643B" w:rsidRDefault="001B6950" w:rsidP="001B6950">
            <w:pPr>
              <w:rPr>
                <w:szCs w:val="24"/>
              </w:rPr>
            </w:pPr>
            <w:r w:rsidRPr="004D643B">
              <w:rPr>
                <w:szCs w:val="24"/>
              </w:rPr>
              <w:t>Harvey Danson/Andrew Moss/Ridwan Musa</w:t>
            </w:r>
          </w:p>
        </w:tc>
        <w:tc>
          <w:tcPr>
            <w:tcW w:w="1417" w:type="dxa"/>
            <w:tcBorders>
              <w:bottom w:val="single" w:sz="4" w:space="0" w:color="auto"/>
            </w:tcBorders>
          </w:tcPr>
          <w:p w:rsidR="001B6950" w:rsidRPr="004D643B" w:rsidRDefault="001B6950" w:rsidP="001B6950">
            <w:pPr>
              <w:rPr>
                <w:szCs w:val="24"/>
              </w:rPr>
            </w:pPr>
            <w:r w:rsidRPr="004D643B">
              <w:rPr>
                <w:szCs w:val="24"/>
              </w:rPr>
              <w:t>17 Jan 20</w:t>
            </w:r>
          </w:p>
        </w:tc>
        <w:tc>
          <w:tcPr>
            <w:tcW w:w="2977" w:type="dxa"/>
            <w:tcBorders>
              <w:bottom w:val="single" w:sz="4" w:space="0" w:color="auto"/>
            </w:tcBorders>
          </w:tcPr>
          <w:p w:rsidR="001B6950" w:rsidRDefault="001B6950" w:rsidP="001B6950">
            <w:pPr>
              <w:rPr>
                <w:szCs w:val="24"/>
              </w:rPr>
            </w:pPr>
          </w:p>
        </w:tc>
        <w:tc>
          <w:tcPr>
            <w:tcW w:w="1701" w:type="dxa"/>
            <w:tcBorders>
              <w:bottom w:val="single" w:sz="4" w:space="0" w:color="auto"/>
            </w:tcBorders>
          </w:tcPr>
          <w:p w:rsidR="001B6950" w:rsidRDefault="001B6950" w:rsidP="001B6950">
            <w:pPr>
              <w:rPr>
                <w:szCs w:val="24"/>
              </w:rPr>
            </w:pPr>
          </w:p>
        </w:tc>
      </w:tr>
      <w:tr w:rsidR="00EF6789" w:rsidTr="00734C64">
        <w:trPr>
          <w:trHeight w:val="510"/>
        </w:trPr>
        <w:tc>
          <w:tcPr>
            <w:tcW w:w="1631" w:type="dxa"/>
            <w:tcBorders>
              <w:bottom w:val="single" w:sz="4" w:space="0" w:color="auto"/>
            </w:tcBorders>
          </w:tcPr>
          <w:p w:rsidR="00EF6789" w:rsidRDefault="00EF6789" w:rsidP="00EF6789">
            <w:pPr>
              <w:rPr>
                <w:szCs w:val="24"/>
              </w:rPr>
            </w:pPr>
            <w:r>
              <w:rPr>
                <w:szCs w:val="24"/>
              </w:rPr>
              <w:t>Local Government Funding and Income Generation Task Group</w:t>
            </w:r>
          </w:p>
          <w:p w:rsidR="00EF6789" w:rsidRDefault="00EF6789" w:rsidP="00EF6789">
            <w:pPr>
              <w:rPr>
                <w:szCs w:val="24"/>
              </w:rPr>
            </w:pPr>
          </w:p>
        </w:tc>
        <w:tc>
          <w:tcPr>
            <w:tcW w:w="3614" w:type="dxa"/>
            <w:tcBorders>
              <w:bottom w:val="single" w:sz="4" w:space="0" w:color="auto"/>
            </w:tcBorders>
          </w:tcPr>
          <w:p w:rsidR="00EF6789" w:rsidRDefault="00EF6789" w:rsidP="00EF6789">
            <w:pPr>
              <w:rPr>
                <w:szCs w:val="24"/>
              </w:rPr>
            </w:pPr>
            <w:r>
              <w:rPr>
                <w:szCs w:val="24"/>
              </w:rPr>
              <w:t>Further update to committee on progress of recommendations</w:t>
            </w:r>
            <w:r w:rsidR="00C249DD">
              <w:rPr>
                <w:szCs w:val="24"/>
              </w:rPr>
              <w:t xml:space="preserve"> as detailed in the report.</w:t>
            </w:r>
          </w:p>
        </w:tc>
        <w:tc>
          <w:tcPr>
            <w:tcW w:w="1843" w:type="dxa"/>
            <w:tcBorders>
              <w:bottom w:val="single" w:sz="4" w:space="0" w:color="auto"/>
            </w:tcBorders>
          </w:tcPr>
          <w:p w:rsidR="00EF6789" w:rsidRDefault="00EF6789" w:rsidP="00EF6789">
            <w:pPr>
              <w:rPr>
                <w:szCs w:val="24"/>
              </w:rPr>
            </w:pPr>
            <w:r>
              <w:rPr>
                <w:szCs w:val="24"/>
              </w:rPr>
              <w:t>Committee meeting</w:t>
            </w:r>
          </w:p>
        </w:tc>
        <w:tc>
          <w:tcPr>
            <w:tcW w:w="1985" w:type="dxa"/>
            <w:tcBorders>
              <w:bottom w:val="single" w:sz="4" w:space="0" w:color="auto"/>
            </w:tcBorders>
          </w:tcPr>
          <w:p w:rsidR="00EF6789" w:rsidRDefault="00EF6789" w:rsidP="00EF6789">
            <w:pPr>
              <w:rPr>
                <w:szCs w:val="24"/>
              </w:rPr>
            </w:pPr>
            <w:r>
              <w:rPr>
                <w:szCs w:val="24"/>
              </w:rPr>
              <w:t>Neil Kissock</w:t>
            </w:r>
          </w:p>
        </w:tc>
        <w:tc>
          <w:tcPr>
            <w:tcW w:w="1417" w:type="dxa"/>
            <w:tcBorders>
              <w:bottom w:val="single" w:sz="4" w:space="0" w:color="auto"/>
            </w:tcBorders>
          </w:tcPr>
          <w:p w:rsidR="00EF6789" w:rsidRDefault="00EF6789" w:rsidP="00EF6789">
            <w:pPr>
              <w:rPr>
                <w:szCs w:val="24"/>
              </w:rPr>
            </w:pPr>
            <w:r>
              <w:rPr>
                <w:szCs w:val="24"/>
              </w:rPr>
              <w:t>13 March 2020</w:t>
            </w:r>
          </w:p>
        </w:tc>
        <w:tc>
          <w:tcPr>
            <w:tcW w:w="2977" w:type="dxa"/>
            <w:tcBorders>
              <w:bottom w:val="single" w:sz="4" w:space="0" w:color="auto"/>
            </w:tcBorders>
          </w:tcPr>
          <w:p w:rsidR="00EF6789" w:rsidRDefault="00C249DD" w:rsidP="00EF6789">
            <w:pPr>
              <w:rPr>
                <w:szCs w:val="24"/>
              </w:rPr>
            </w:pPr>
            <w:r>
              <w:rPr>
                <w:szCs w:val="24"/>
              </w:rPr>
              <w:t>To note the update.</w:t>
            </w:r>
          </w:p>
        </w:tc>
        <w:tc>
          <w:tcPr>
            <w:tcW w:w="1701" w:type="dxa"/>
            <w:tcBorders>
              <w:bottom w:val="single" w:sz="4" w:space="0" w:color="auto"/>
            </w:tcBorders>
          </w:tcPr>
          <w:p w:rsidR="00EF6789" w:rsidRDefault="00EF6789" w:rsidP="00EF6789">
            <w:pPr>
              <w:rPr>
                <w:szCs w:val="24"/>
              </w:rPr>
            </w:pPr>
          </w:p>
        </w:tc>
      </w:tr>
      <w:tr w:rsidR="00EF6789" w:rsidTr="00734C64">
        <w:trPr>
          <w:trHeight w:val="510"/>
        </w:trPr>
        <w:tc>
          <w:tcPr>
            <w:tcW w:w="1631" w:type="dxa"/>
            <w:tcBorders>
              <w:bottom w:val="single" w:sz="4" w:space="0" w:color="auto"/>
            </w:tcBorders>
          </w:tcPr>
          <w:p w:rsidR="00EF6789" w:rsidRDefault="00EF6789" w:rsidP="00EF6789">
            <w:pPr>
              <w:rPr>
                <w:szCs w:val="24"/>
              </w:rPr>
            </w:pPr>
            <w:r>
              <w:rPr>
                <w:szCs w:val="24"/>
              </w:rPr>
              <w:t>Regulation of Investigatory Powers</w:t>
            </w:r>
          </w:p>
        </w:tc>
        <w:tc>
          <w:tcPr>
            <w:tcW w:w="3614" w:type="dxa"/>
            <w:tcBorders>
              <w:bottom w:val="single" w:sz="4" w:space="0" w:color="auto"/>
            </w:tcBorders>
          </w:tcPr>
          <w:p w:rsidR="00EF6789" w:rsidRDefault="00EF6789" w:rsidP="00EF6789">
            <w:pPr>
              <w:rPr>
                <w:szCs w:val="24"/>
              </w:rPr>
            </w:pPr>
            <w:r>
              <w:rPr>
                <w:szCs w:val="24"/>
              </w:rPr>
              <w:t xml:space="preserve">To provide an annual update to the committee. </w:t>
            </w:r>
          </w:p>
        </w:tc>
        <w:tc>
          <w:tcPr>
            <w:tcW w:w="1843" w:type="dxa"/>
            <w:tcBorders>
              <w:bottom w:val="single" w:sz="4" w:space="0" w:color="auto"/>
            </w:tcBorders>
          </w:tcPr>
          <w:p w:rsidR="00EF6789" w:rsidRDefault="00EF6789" w:rsidP="00EF6789">
            <w:pPr>
              <w:rPr>
                <w:szCs w:val="24"/>
              </w:rPr>
            </w:pPr>
            <w:r>
              <w:rPr>
                <w:szCs w:val="24"/>
              </w:rPr>
              <w:t>Committee meeting</w:t>
            </w:r>
          </w:p>
        </w:tc>
        <w:tc>
          <w:tcPr>
            <w:tcW w:w="1985" w:type="dxa"/>
            <w:tcBorders>
              <w:bottom w:val="single" w:sz="4" w:space="0" w:color="auto"/>
            </w:tcBorders>
          </w:tcPr>
          <w:p w:rsidR="00EF6789" w:rsidRDefault="00EF6789" w:rsidP="00EF6789">
            <w:pPr>
              <w:rPr>
                <w:szCs w:val="24"/>
              </w:rPr>
            </w:pPr>
            <w:r>
              <w:rPr>
                <w:szCs w:val="24"/>
              </w:rPr>
              <w:t>Laura Sales/Amanda Maxim</w:t>
            </w:r>
          </w:p>
        </w:tc>
        <w:tc>
          <w:tcPr>
            <w:tcW w:w="1417" w:type="dxa"/>
            <w:tcBorders>
              <w:bottom w:val="single" w:sz="4" w:space="0" w:color="auto"/>
            </w:tcBorders>
          </w:tcPr>
          <w:p w:rsidR="00EF6789" w:rsidRDefault="00EF6789" w:rsidP="00EF6789">
            <w:pPr>
              <w:rPr>
                <w:szCs w:val="24"/>
              </w:rPr>
            </w:pPr>
            <w:r>
              <w:rPr>
                <w:szCs w:val="24"/>
              </w:rPr>
              <w:t>15 May 2020</w:t>
            </w:r>
          </w:p>
        </w:tc>
        <w:tc>
          <w:tcPr>
            <w:tcW w:w="2977" w:type="dxa"/>
            <w:tcBorders>
              <w:bottom w:val="single" w:sz="4" w:space="0" w:color="auto"/>
            </w:tcBorders>
          </w:tcPr>
          <w:p w:rsidR="00EF6789" w:rsidRDefault="00EF6789" w:rsidP="00EF6789">
            <w:pPr>
              <w:rPr>
                <w:szCs w:val="24"/>
              </w:rPr>
            </w:pPr>
            <w:r>
              <w:rPr>
                <w:szCs w:val="24"/>
              </w:rPr>
              <w:t xml:space="preserve">To note the report and update. </w:t>
            </w:r>
          </w:p>
        </w:tc>
        <w:tc>
          <w:tcPr>
            <w:tcW w:w="1701" w:type="dxa"/>
            <w:tcBorders>
              <w:bottom w:val="single" w:sz="4" w:space="0" w:color="auto"/>
            </w:tcBorders>
          </w:tcPr>
          <w:p w:rsidR="00EF6789" w:rsidRDefault="00EF6789" w:rsidP="00EF6789">
            <w:pPr>
              <w:rPr>
                <w:szCs w:val="24"/>
              </w:rPr>
            </w:pPr>
            <w:r>
              <w:rPr>
                <w:szCs w:val="24"/>
              </w:rPr>
              <w:t xml:space="preserve">Annual update. </w:t>
            </w:r>
          </w:p>
        </w:tc>
      </w:tr>
      <w:tr w:rsidR="00EF6789" w:rsidTr="00734C64">
        <w:trPr>
          <w:trHeight w:val="253"/>
        </w:trPr>
        <w:tc>
          <w:tcPr>
            <w:tcW w:w="15168" w:type="dxa"/>
            <w:gridSpan w:val="7"/>
            <w:tcBorders>
              <w:bottom w:val="single" w:sz="4" w:space="0" w:color="auto"/>
            </w:tcBorders>
            <w:shd w:val="clear" w:color="auto" w:fill="D0CECE" w:themeFill="background2" w:themeFillShade="E6"/>
          </w:tcPr>
          <w:p w:rsidR="00EF6789" w:rsidRDefault="00EF6789" w:rsidP="00EF6789">
            <w:pPr>
              <w:rPr>
                <w:szCs w:val="24"/>
              </w:rPr>
            </w:pPr>
            <w:r>
              <w:rPr>
                <w:szCs w:val="24"/>
              </w:rPr>
              <w:t>Task Group</w:t>
            </w:r>
          </w:p>
          <w:p w:rsidR="00EF6789" w:rsidRDefault="00EF6789" w:rsidP="00EF6789">
            <w:pPr>
              <w:rPr>
                <w:szCs w:val="24"/>
              </w:rPr>
            </w:pPr>
          </w:p>
        </w:tc>
      </w:tr>
      <w:tr w:rsidR="00EF6789" w:rsidTr="00734C64">
        <w:trPr>
          <w:trHeight w:val="510"/>
        </w:trPr>
        <w:tc>
          <w:tcPr>
            <w:tcW w:w="1631" w:type="dxa"/>
            <w:tcBorders>
              <w:bottom w:val="single" w:sz="4" w:space="0" w:color="auto"/>
            </w:tcBorders>
          </w:tcPr>
          <w:p w:rsidR="00EF6789" w:rsidRPr="00D13170" w:rsidRDefault="00EF6789" w:rsidP="00EF6789">
            <w:pPr>
              <w:rPr>
                <w:szCs w:val="24"/>
                <w:highlight w:val="yellow"/>
              </w:rPr>
            </w:pPr>
          </w:p>
          <w:p w:rsidR="00EF6789" w:rsidRPr="00D13170" w:rsidRDefault="00EF6789" w:rsidP="00EF6789">
            <w:pPr>
              <w:rPr>
                <w:szCs w:val="24"/>
                <w:highlight w:val="yellow"/>
              </w:rPr>
            </w:pPr>
          </w:p>
        </w:tc>
        <w:tc>
          <w:tcPr>
            <w:tcW w:w="3614" w:type="dxa"/>
            <w:tcBorders>
              <w:bottom w:val="single" w:sz="4" w:space="0" w:color="auto"/>
            </w:tcBorders>
          </w:tcPr>
          <w:p w:rsidR="00EF6789" w:rsidRPr="00D13170" w:rsidRDefault="00EF6789" w:rsidP="00EF6789">
            <w:pPr>
              <w:rPr>
                <w:szCs w:val="24"/>
                <w:highlight w:val="yellow"/>
              </w:rPr>
            </w:pPr>
          </w:p>
        </w:tc>
        <w:tc>
          <w:tcPr>
            <w:tcW w:w="1843" w:type="dxa"/>
            <w:tcBorders>
              <w:bottom w:val="single" w:sz="4" w:space="0" w:color="auto"/>
            </w:tcBorders>
          </w:tcPr>
          <w:p w:rsidR="00EF6789" w:rsidRPr="00D13170" w:rsidRDefault="00EF6789" w:rsidP="00EF6789">
            <w:pPr>
              <w:rPr>
                <w:szCs w:val="24"/>
                <w:highlight w:val="yellow"/>
              </w:rPr>
            </w:pPr>
          </w:p>
        </w:tc>
        <w:tc>
          <w:tcPr>
            <w:tcW w:w="1985" w:type="dxa"/>
            <w:tcBorders>
              <w:bottom w:val="single" w:sz="4" w:space="0" w:color="auto"/>
            </w:tcBorders>
          </w:tcPr>
          <w:p w:rsidR="00EF6789" w:rsidRPr="00D13170" w:rsidRDefault="00EF6789" w:rsidP="00EF6789">
            <w:pPr>
              <w:rPr>
                <w:szCs w:val="24"/>
                <w:highlight w:val="yellow"/>
              </w:rPr>
            </w:pPr>
          </w:p>
        </w:tc>
        <w:tc>
          <w:tcPr>
            <w:tcW w:w="1417" w:type="dxa"/>
            <w:tcBorders>
              <w:bottom w:val="single" w:sz="4" w:space="0" w:color="auto"/>
            </w:tcBorders>
          </w:tcPr>
          <w:p w:rsidR="00EF6789" w:rsidRPr="00D13170" w:rsidRDefault="00EF6789" w:rsidP="00EF6789">
            <w:pPr>
              <w:rPr>
                <w:szCs w:val="24"/>
                <w:highlight w:val="yellow"/>
              </w:rPr>
            </w:pPr>
          </w:p>
        </w:tc>
        <w:tc>
          <w:tcPr>
            <w:tcW w:w="2977" w:type="dxa"/>
          </w:tcPr>
          <w:p w:rsidR="00EF6789" w:rsidRPr="00D13170" w:rsidRDefault="00EF6789" w:rsidP="00EF6789">
            <w:pPr>
              <w:rPr>
                <w:szCs w:val="24"/>
                <w:highlight w:val="yellow"/>
              </w:rPr>
            </w:pPr>
          </w:p>
        </w:tc>
        <w:tc>
          <w:tcPr>
            <w:tcW w:w="1701" w:type="dxa"/>
          </w:tcPr>
          <w:p w:rsidR="00EF6789" w:rsidRPr="00D13170" w:rsidRDefault="00EF6789" w:rsidP="00EF6789">
            <w:pPr>
              <w:rPr>
                <w:szCs w:val="24"/>
                <w:highlight w:val="yellow"/>
              </w:rPr>
            </w:pPr>
          </w:p>
        </w:tc>
      </w:tr>
      <w:tr w:rsidR="00EF6789" w:rsidTr="00734C64">
        <w:trPr>
          <w:trHeight w:val="276"/>
        </w:trPr>
        <w:tc>
          <w:tcPr>
            <w:tcW w:w="15168" w:type="dxa"/>
            <w:gridSpan w:val="7"/>
            <w:shd w:val="pct15" w:color="auto" w:fill="auto"/>
          </w:tcPr>
          <w:p w:rsidR="00EF6789" w:rsidRDefault="00EF6789" w:rsidP="00EF6789">
            <w:pPr>
              <w:rPr>
                <w:szCs w:val="24"/>
              </w:rPr>
            </w:pPr>
            <w:r>
              <w:rPr>
                <w:szCs w:val="24"/>
              </w:rPr>
              <w:t>Bite Size Briefing</w:t>
            </w:r>
          </w:p>
        </w:tc>
      </w:tr>
      <w:tr w:rsidR="00EF6789" w:rsidTr="00734C64">
        <w:trPr>
          <w:trHeight w:val="1212"/>
        </w:trPr>
        <w:tc>
          <w:tcPr>
            <w:tcW w:w="1631" w:type="dxa"/>
            <w:tcBorders>
              <w:bottom w:val="single" w:sz="4" w:space="0" w:color="auto"/>
            </w:tcBorders>
          </w:tcPr>
          <w:p w:rsidR="00EF6789" w:rsidRDefault="00EF6789" w:rsidP="00EF6789">
            <w:pPr>
              <w:rPr>
                <w:szCs w:val="24"/>
              </w:rPr>
            </w:pPr>
            <w:r>
              <w:rPr>
                <w:szCs w:val="24"/>
              </w:rPr>
              <w:t>Reducing Single Use Plastics</w:t>
            </w:r>
          </w:p>
        </w:tc>
        <w:tc>
          <w:tcPr>
            <w:tcW w:w="3614" w:type="dxa"/>
            <w:tcBorders>
              <w:bottom w:val="single" w:sz="4" w:space="0" w:color="auto"/>
            </w:tcBorders>
          </w:tcPr>
          <w:p w:rsidR="00EF6789" w:rsidRDefault="00EF6789" w:rsidP="00EF6789">
            <w:pPr>
              <w:rPr>
                <w:szCs w:val="24"/>
              </w:rPr>
            </w:pPr>
            <w:r>
              <w:rPr>
                <w:szCs w:val="24"/>
              </w:rPr>
              <w:t xml:space="preserve">Information to all members on the issues of plastic waste and what is being done to address this and what role councillors can play. </w:t>
            </w:r>
          </w:p>
        </w:tc>
        <w:tc>
          <w:tcPr>
            <w:tcW w:w="1843" w:type="dxa"/>
            <w:tcBorders>
              <w:bottom w:val="single" w:sz="4" w:space="0" w:color="auto"/>
            </w:tcBorders>
          </w:tcPr>
          <w:p w:rsidR="00EF6789" w:rsidRDefault="00EF6789" w:rsidP="00EF6789">
            <w:pPr>
              <w:rPr>
                <w:szCs w:val="24"/>
              </w:rPr>
            </w:pPr>
            <w:r>
              <w:rPr>
                <w:szCs w:val="24"/>
              </w:rPr>
              <w:t xml:space="preserve">Bite Size Briefing </w:t>
            </w:r>
          </w:p>
        </w:tc>
        <w:tc>
          <w:tcPr>
            <w:tcW w:w="1985" w:type="dxa"/>
            <w:tcBorders>
              <w:bottom w:val="single" w:sz="4" w:space="0" w:color="auto"/>
            </w:tcBorders>
          </w:tcPr>
          <w:p w:rsidR="00EF6789" w:rsidRDefault="00EF6789" w:rsidP="00EF6789">
            <w:pPr>
              <w:rPr>
                <w:szCs w:val="24"/>
              </w:rPr>
            </w:pPr>
            <w:r>
              <w:rPr>
                <w:szCs w:val="24"/>
              </w:rPr>
              <w:t>Mike Kirby</w:t>
            </w:r>
          </w:p>
        </w:tc>
        <w:tc>
          <w:tcPr>
            <w:tcW w:w="1417" w:type="dxa"/>
            <w:tcBorders>
              <w:bottom w:val="single" w:sz="4" w:space="0" w:color="auto"/>
            </w:tcBorders>
          </w:tcPr>
          <w:p w:rsidR="00EF6789" w:rsidRDefault="00EF6789" w:rsidP="00EF6789">
            <w:pPr>
              <w:rPr>
                <w:szCs w:val="24"/>
              </w:rPr>
            </w:pPr>
            <w:r>
              <w:rPr>
                <w:szCs w:val="24"/>
              </w:rPr>
              <w:t>9 October 2019</w:t>
            </w:r>
          </w:p>
        </w:tc>
        <w:tc>
          <w:tcPr>
            <w:tcW w:w="2977" w:type="dxa"/>
            <w:tcBorders>
              <w:bottom w:val="single" w:sz="4" w:space="0" w:color="auto"/>
            </w:tcBorders>
          </w:tcPr>
          <w:p w:rsidR="00EF6789" w:rsidRDefault="00EF6789" w:rsidP="00EF6789">
            <w:pPr>
              <w:rPr>
                <w:szCs w:val="24"/>
              </w:rPr>
            </w:pPr>
          </w:p>
        </w:tc>
        <w:tc>
          <w:tcPr>
            <w:tcW w:w="1701" w:type="dxa"/>
            <w:tcBorders>
              <w:bottom w:val="single" w:sz="4" w:space="0" w:color="auto"/>
            </w:tcBorders>
          </w:tcPr>
          <w:p w:rsidR="00EF6789" w:rsidRDefault="00EF6789" w:rsidP="00EF6789">
            <w:pPr>
              <w:rPr>
                <w:szCs w:val="24"/>
              </w:rPr>
            </w:pPr>
          </w:p>
        </w:tc>
      </w:tr>
      <w:tr w:rsidR="00EF6789" w:rsidTr="00734C64">
        <w:trPr>
          <w:trHeight w:val="1212"/>
        </w:trPr>
        <w:tc>
          <w:tcPr>
            <w:tcW w:w="1631" w:type="dxa"/>
            <w:tcBorders>
              <w:bottom w:val="single" w:sz="4" w:space="0" w:color="auto"/>
            </w:tcBorders>
          </w:tcPr>
          <w:p w:rsidR="00EF6789" w:rsidRDefault="00EF6789" w:rsidP="00EF6789">
            <w:pPr>
              <w:rPr>
                <w:szCs w:val="24"/>
              </w:rPr>
            </w:pPr>
            <w:r>
              <w:rPr>
                <w:szCs w:val="24"/>
              </w:rPr>
              <w:t>Winter Gritting</w:t>
            </w:r>
          </w:p>
        </w:tc>
        <w:tc>
          <w:tcPr>
            <w:tcW w:w="3614" w:type="dxa"/>
            <w:tcBorders>
              <w:bottom w:val="single" w:sz="4" w:space="0" w:color="auto"/>
            </w:tcBorders>
          </w:tcPr>
          <w:p w:rsidR="00EF6789" w:rsidRDefault="00EF6789" w:rsidP="00EF6789">
            <w:pPr>
              <w:rPr>
                <w:szCs w:val="24"/>
              </w:rPr>
            </w:pPr>
            <w:r>
              <w:rPr>
                <w:szCs w:val="24"/>
              </w:rPr>
              <w:t xml:space="preserve">Information to all members on winter gritting and how councillors can help more. </w:t>
            </w:r>
          </w:p>
        </w:tc>
        <w:tc>
          <w:tcPr>
            <w:tcW w:w="1843" w:type="dxa"/>
            <w:tcBorders>
              <w:bottom w:val="single" w:sz="4" w:space="0" w:color="auto"/>
            </w:tcBorders>
          </w:tcPr>
          <w:p w:rsidR="00EF6789" w:rsidRDefault="00EF6789" w:rsidP="00EF6789">
            <w:pPr>
              <w:rPr>
                <w:szCs w:val="24"/>
              </w:rPr>
            </w:pPr>
            <w:r>
              <w:rPr>
                <w:szCs w:val="24"/>
              </w:rPr>
              <w:t xml:space="preserve">Bite Size Briefing </w:t>
            </w:r>
          </w:p>
        </w:tc>
        <w:tc>
          <w:tcPr>
            <w:tcW w:w="1985" w:type="dxa"/>
            <w:tcBorders>
              <w:bottom w:val="single" w:sz="4" w:space="0" w:color="auto"/>
            </w:tcBorders>
          </w:tcPr>
          <w:p w:rsidR="00EF6789" w:rsidRDefault="00EF6789" w:rsidP="00EF6789">
            <w:pPr>
              <w:rPr>
                <w:szCs w:val="24"/>
              </w:rPr>
            </w:pPr>
            <w:r>
              <w:rPr>
                <w:szCs w:val="24"/>
              </w:rPr>
              <w:t xml:space="preserve">Phil Durnell/Ridwan Musa </w:t>
            </w:r>
          </w:p>
        </w:tc>
        <w:tc>
          <w:tcPr>
            <w:tcW w:w="1417" w:type="dxa"/>
            <w:tcBorders>
              <w:bottom w:val="single" w:sz="4" w:space="0" w:color="auto"/>
            </w:tcBorders>
          </w:tcPr>
          <w:p w:rsidR="00EF6789" w:rsidRDefault="00EF6789" w:rsidP="00EF6789">
            <w:pPr>
              <w:rPr>
                <w:szCs w:val="24"/>
              </w:rPr>
            </w:pPr>
            <w:r>
              <w:rPr>
                <w:szCs w:val="24"/>
              </w:rPr>
              <w:t>20 November 2019</w:t>
            </w:r>
          </w:p>
        </w:tc>
        <w:tc>
          <w:tcPr>
            <w:tcW w:w="2977" w:type="dxa"/>
            <w:tcBorders>
              <w:bottom w:val="single" w:sz="4" w:space="0" w:color="auto"/>
            </w:tcBorders>
          </w:tcPr>
          <w:p w:rsidR="00EF6789" w:rsidRDefault="00EF6789" w:rsidP="00EF6789">
            <w:pPr>
              <w:rPr>
                <w:szCs w:val="24"/>
              </w:rPr>
            </w:pPr>
          </w:p>
          <w:p w:rsidR="002150DB" w:rsidRDefault="002150DB" w:rsidP="00EF6789">
            <w:pPr>
              <w:rPr>
                <w:szCs w:val="24"/>
              </w:rPr>
            </w:pPr>
          </w:p>
          <w:p w:rsidR="002150DB" w:rsidRDefault="002150DB" w:rsidP="00EF6789">
            <w:pPr>
              <w:rPr>
                <w:szCs w:val="24"/>
              </w:rPr>
            </w:pPr>
          </w:p>
          <w:p w:rsidR="002150DB" w:rsidRDefault="002150DB" w:rsidP="00EF6789">
            <w:pPr>
              <w:rPr>
                <w:szCs w:val="24"/>
              </w:rPr>
            </w:pPr>
          </w:p>
          <w:p w:rsidR="002150DB" w:rsidRDefault="002150DB" w:rsidP="00EF6789">
            <w:pPr>
              <w:rPr>
                <w:szCs w:val="24"/>
              </w:rPr>
            </w:pPr>
          </w:p>
          <w:p w:rsidR="002150DB" w:rsidRDefault="002150DB" w:rsidP="00EF6789">
            <w:pPr>
              <w:rPr>
                <w:szCs w:val="24"/>
              </w:rPr>
            </w:pPr>
          </w:p>
        </w:tc>
        <w:tc>
          <w:tcPr>
            <w:tcW w:w="1701" w:type="dxa"/>
            <w:tcBorders>
              <w:bottom w:val="single" w:sz="4" w:space="0" w:color="auto"/>
            </w:tcBorders>
          </w:tcPr>
          <w:p w:rsidR="00EF6789" w:rsidRDefault="00EF6789" w:rsidP="00EF6789">
            <w:pPr>
              <w:rPr>
                <w:szCs w:val="24"/>
              </w:rPr>
            </w:pPr>
          </w:p>
        </w:tc>
      </w:tr>
      <w:tr w:rsidR="00EF6789" w:rsidTr="00734C64">
        <w:trPr>
          <w:trHeight w:val="274"/>
        </w:trPr>
        <w:tc>
          <w:tcPr>
            <w:tcW w:w="15168" w:type="dxa"/>
            <w:gridSpan w:val="7"/>
            <w:shd w:val="clear" w:color="auto" w:fill="D0CECE" w:themeFill="background2" w:themeFillShade="E6"/>
          </w:tcPr>
          <w:p w:rsidR="00EF6789" w:rsidRDefault="00EF6789" w:rsidP="00EF6789">
            <w:pPr>
              <w:rPr>
                <w:szCs w:val="24"/>
              </w:rPr>
            </w:pPr>
            <w:r>
              <w:rPr>
                <w:szCs w:val="24"/>
              </w:rPr>
              <w:lastRenderedPageBreak/>
              <w:t>Briefing Note</w:t>
            </w:r>
          </w:p>
        </w:tc>
      </w:tr>
      <w:tr w:rsidR="00EF6789" w:rsidTr="00734C64">
        <w:trPr>
          <w:trHeight w:val="510"/>
        </w:trPr>
        <w:tc>
          <w:tcPr>
            <w:tcW w:w="1631" w:type="dxa"/>
          </w:tcPr>
          <w:p w:rsidR="00EF6789" w:rsidRDefault="00EF6789" w:rsidP="00EF6789">
            <w:pPr>
              <w:rPr>
                <w:szCs w:val="24"/>
              </w:rPr>
            </w:pPr>
            <w:r>
              <w:rPr>
                <w:szCs w:val="24"/>
              </w:rPr>
              <w:t>Member Grants, CGF and LIF</w:t>
            </w:r>
          </w:p>
        </w:tc>
        <w:tc>
          <w:tcPr>
            <w:tcW w:w="3614" w:type="dxa"/>
          </w:tcPr>
          <w:p w:rsidR="00EF6789" w:rsidRDefault="00EF6789" w:rsidP="00EF6789">
            <w:pPr>
              <w:rPr>
                <w:szCs w:val="24"/>
              </w:rPr>
            </w:pPr>
            <w:r>
              <w:rPr>
                <w:szCs w:val="24"/>
              </w:rPr>
              <w:t>Impact on third sector and community organisations in relation to the withdrawal of funding.</w:t>
            </w:r>
          </w:p>
        </w:tc>
        <w:tc>
          <w:tcPr>
            <w:tcW w:w="1843" w:type="dxa"/>
          </w:tcPr>
          <w:p w:rsidR="00EF6789" w:rsidRDefault="00EF6789" w:rsidP="00EF6789">
            <w:r>
              <w:t>Briefing note</w:t>
            </w:r>
            <w:r>
              <w:rPr>
                <w:szCs w:val="24"/>
              </w:rPr>
              <w:t xml:space="preserve"> for members</w:t>
            </w:r>
          </w:p>
        </w:tc>
        <w:tc>
          <w:tcPr>
            <w:tcW w:w="1985" w:type="dxa"/>
          </w:tcPr>
          <w:p w:rsidR="00EF6789" w:rsidRDefault="00EF6789" w:rsidP="00EF6789">
            <w:pPr>
              <w:rPr>
                <w:szCs w:val="24"/>
              </w:rPr>
            </w:pPr>
            <w:r>
              <w:rPr>
                <w:szCs w:val="24"/>
              </w:rPr>
              <w:t>TBC</w:t>
            </w:r>
          </w:p>
        </w:tc>
        <w:tc>
          <w:tcPr>
            <w:tcW w:w="1417" w:type="dxa"/>
          </w:tcPr>
          <w:p w:rsidR="00EF6789" w:rsidRDefault="00A26619" w:rsidP="00EF6789">
            <w:pPr>
              <w:rPr>
                <w:szCs w:val="24"/>
              </w:rPr>
            </w:pPr>
            <w:r>
              <w:rPr>
                <w:szCs w:val="24"/>
              </w:rPr>
              <w:t>Dec</w:t>
            </w:r>
            <w:r w:rsidR="00EF6789">
              <w:rPr>
                <w:szCs w:val="24"/>
              </w:rPr>
              <w:t xml:space="preserve"> 2019</w:t>
            </w:r>
          </w:p>
        </w:tc>
        <w:tc>
          <w:tcPr>
            <w:tcW w:w="2977" w:type="dxa"/>
          </w:tcPr>
          <w:p w:rsidR="00EF6789" w:rsidRDefault="00EF6789" w:rsidP="00EF6789">
            <w:pPr>
              <w:rPr>
                <w:szCs w:val="24"/>
              </w:rPr>
            </w:pPr>
          </w:p>
        </w:tc>
        <w:tc>
          <w:tcPr>
            <w:tcW w:w="1701" w:type="dxa"/>
          </w:tcPr>
          <w:p w:rsidR="00EF6789" w:rsidRDefault="00EF6789" w:rsidP="00EF6789">
            <w:pPr>
              <w:rPr>
                <w:szCs w:val="24"/>
              </w:rPr>
            </w:pPr>
          </w:p>
        </w:tc>
      </w:tr>
    </w:tbl>
    <w:p w:rsidR="005B3002" w:rsidRPr="005B3002" w:rsidRDefault="005B3002" w:rsidP="00A26619">
      <w:pPr>
        <w:rPr>
          <w:szCs w:val="24"/>
        </w:rPr>
      </w:pPr>
    </w:p>
    <w:sectPr w:rsidR="005B3002" w:rsidRPr="005B3002" w:rsidSect="00DC4153">
      <w:headerReference w:type="default" r:id="rId9"/>
      <w:footerReference w:type="default" r:id="rId10"/>
      <w:pgSz w:w="16838" w:h="11906" w:orient="landscape"/>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4B" w:rsidRDefault="0064654B">
    <w:pPr>
      <w:pStyle w:val="Header"/>
    </w:pP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147967"/>
    <w:multiLevelType w:val="hybridMultilevel"/>
    <w:tmpl w:val="6EE8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1070E"/>
    <w:multiLevelType w:val="hybridMultilevel"/>
    <w:tmpl w:val="CA6406B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5410710"/>
    <w:multiLevelType w:val="hybridMultilevel"/>
    <w:tmpl w:val="703A003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09A3"/>
    <w:rsid w:val="00020801"/>
    <w:rsid w:val="00024EEF"/>
    <w:rsid w:val="00030E6D"/>
    <w:rsid w:val="00032242"/>
    <w:rsid w:val="000D4823"/>
    <w:rsid w:val="000E7880"/>
    <w:rsid w:val="001036F1"/>
    <w:rsid w:val="0012008E"/>
    <w:rsid w:val="00132709"/>
    <w:rsid w:val="0013341F"/>
    <w:rsid w:val="00187FE4"/>
    <w:rsid w:val="001915A5"/>
    <w:rsid w:val="001B4197"/>
    <w:rsid w:val="001B6362"/>
    <w:rsid w:val="001B6950"/>
    <w:rsid w:val="001E0917"/>
    <w:rsid w:val="00201798"/>
    <w:rsid w:val="002150DB"/>
    <w:rsid w:val="002459AF"/>
    <w:rsid w:val="002460B3"/>
    <w:rsid w:val="002B6339"/>
    <w:rsid w:val="002C7843"/>
    <w:rsid w:val="002E0E30"/>
    <w:rsid w:val="00321F20"/>
    <w:rsid w:val="00334446"/>
    <w:rsid w:val="003573DE"/>
    <w:rsid w:val="0037199F"/>
    <w:rsid w:val="00376933"/>
    <w:rsid w:val="0041766B"/>
    <w:rsid w:val="0043738F"/>
    <w:rsid w:val="004509C8"/>
    <w:rsid w:val="00470902"/>
    <w:rsid w:val="00471FBB"/>
    <w:rsid w:val="004B735E"/>
    <w:rsid w:val="004D643B"/>
    <w:rsid w:val="004E08C3"/>
    <w:rsid w:val="0051373F"/>
    <w:rsid w:val="00520B45"/>
    <w:rsid w:val="00542EB9"/>
    <w:rsid w:val="00551D55"/>
    <w:rsid w:val="00556A6B"/>
    <w:rsid w:val="005610AC"/>
    <w:rsid w:val="00564711"/>
    <w:rsid w:val="005842E9"/>
    <w:rsid w:val="00585376"/>
    <w:rsid w:val="005874BC"/>
    <w:rsid w:val="005A279B"/>
    <w:rsid w:val="005B20A8"/>
    <w:rsid w:val="005B3002"/>
    <w:rsid w:val="005C0BD3"/>
    <w:rsid w:val="005F70B6"/>
    <w:rsid w:val="0060611B"/>
    <w:rsid w:val="00607D98"/>
    <w:rsid w:val="0064654B"/>
    <w:rsid w:val="00652319"/>
    <w:rsid w:val="00673BED"/>
    <w:rsid w:val="006A64ED"/>
    <w:rsid w:val="006D52AC"/>
    <w:rsid w:val="007039FD"/>
    <w:rsid w:val="00734C64"/>
    <w:rsid w:val="00737E07"/>
    <w:rsid w:val="00747607"/>
    <w:rsid w:val="00790ECA"/>
    <w:rsid w:val="007E4331"/>
    <w:rsid w:val="00811DF0"/>
    <w:rsid w:val="00826CA9"/>
    <w:rsid w:val="00836BD6"/>
    <w:rsid w:val="00853A6F"/>
    <w:rsid w:val="00857B6A"/>
    <w:rsid w:val="0088749B"/>
    <w:rsid w:val="008976C2"/>
    <w:rsid w:val="008A4728"/>
    <w:rsid w:val="008A7317"/>
    <w:rsid w:val="008B02E3"/>
    <w:rsid w:val="008B4D7B"/>
    <w:rsid w:val="008D0DA2"/>
    <w:rsid w:val="008E3880"/>
    <w:rsid w:val="00920E92"/>
    <w:rsid w:val="009449B9"/>
    <w:rsid w:val="00957472"/>
    <w:rsid w:val="00971FD9"/>
    <w:rsid w:val="00A074D5"/>
    <w:rsid w:val="00A21829"/>
    <w:rsid w:val="00A26619"/>
    <w:rsid w:val="00A70227"/>
    <w:rsid w:val="00A7666D"/>
    <w:rsid w:val="00AB210D"/>
    <w:rsid w:val="00AC2DBC"/>
    <w:rsid w:val="00AD03ED"/>
    <w:rsid w:val="00AE133A"/>
    <w:rsid w:val="00AE604E"/>
    <w:rsid w:val="00AF2DD0"/>
    <w:rsid w:val="00B15642"/>
    <w:rsid w:val="00B40E68"/>
    <w:rsid w:val="00BC433F"/>
    <w:rsid w:val="00C142F9"/>
    <w:rsid w:val="00C249DD"/>
    <w:rsid w:val="00C3060F"/>
    <w:rsid w:val="00C354BA"/>
    <w:rsid w:val="00C36E36"/>
    <w:rsid w:val="00C517CA"/>
    <w:rsid w:val="00C54A59"/>
    <w:rsid w:val="00C55743"/>
    <w:rsid w:val="00C60712"/>
    <w:rsid w:val="00C6466E"/>
    <w:rsid w:val="00C90096"/>
    <w:rsid w:val="00CA0D02"/>
    <w:rsid w:val="00CC09B6"/>
    <w:rsid w:val="00CD3400"/>
    <w:rsid w:val="00CD6033"/>
    <w:rsid w:val="00D00C43"/>
    <w:rsid w:val="00D13170"/>
    <w:rsid w:val="00D35E87"/>
    <w:rsid w:val="00D47A34"/>
    <w:rsid w:val="00DB0F6F"/>
    <w:rsid w:val="00DB4102"/>
    <w:rsid w:val="00DB4B6C"/>
    <w:rsid w:val="00DB587A"/>
    <w:rsid w:val="00DC136F"/>
    <w:rsid w:val="00DC4153"/>
    <w:rsid w:val="00DC5BBB"/>
    <w:rsid w:val="00DD17E5"/>
    <w:rsid w:val="00DD1FBC"/>
    <w:rsid w:val="00E16190"/>
    <w:rsid w:val="00E4500D"/>
    <w:rsid w:val="00E45B0F"/>
    <w:rsid w:val="00E701DC"/>
    <w:rsid w:val="00E93864"/>
    <w:rsid w:val="00EC5174"/>
    <w:rsid w:val="00EE3348"/>
    <w:rsid w:val="00EE3E9B"/>
    <w:rsid w:val="00EE70EE"/>
    <w:rsid w:val="00EF2B8B"/>
    <w:rsid w:val="00EF5E37"/>
    <w:rsid w:val="00EF6789"/>
    <w:rsid w:val="00F14FCE"/>
    <w:rsid w:val="00F51E71"/>
    <w:rsid w:val="00F60448"/>
    <w:rsid w:val="00F643B7"/>
    <w:rsid w:val="00F71F09"/>
    <w:rsid w:val="00F73BA2"/>
    <w:rsid w:val="00FE05B5"/>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18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0629">
      <w:bodyDiv w:val="1"/>
      <w:marLeft w:val="0"/>
      <w:marRight w:val="0"/>
      <w:marTop w:val="0"/>
      <w:marBottom w:val="0"/>
      <w:divBdr>
        <w:top w:val="none" w:sz="0" w:space="0" w:color="auto"/>
        <w:left w:val="none" w:sz="0" w:space="0" w:color="auto"/>
        <w:bottom w:val="none" w:sz="0" w:space="0" w:color="auto"/>
        <w:right w:val="none" w:sz="0" w:space="0" w:color="auto"/>
      </w:divBdr>
    </w:div>
    <w:div w:id="715856736">
      <w:bodyDiv w:val="1"/>
      <w:marLeft w:val="0"/>
      <w:marRight w:val="0"/>
      <w:marTop w:val="0"/>
      <w:marBottom w:val="0"/>
      <w:divBdr>
        <w:top w:val="none" w:sz="0" w:space="0" w:color="auto"/>
        <w:left w:val="none" w:sz="0" w:space="0" w:color="auto"/>
        <w:bottom w:val="none" w:sz="0" w:space="0" w:color="auto"/>
        <w:right w:val="none" w:sz="0" w:space="0" w:color="auto"/>
      </w:divBdr>
    </w:div>
    <w:div w:id="1583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intranet/ieListDocuments.aspx?CId=914&amp;MId=2916&amp;Ver=4&amp;info=1&amp;bc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30DD-E13E-4CD4-BB26-0EBEDAFF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Bhatti, Misbah</cp:lastModifiedBy>
  <cp:revision>15</cp:revision>
  <dcterms:created xsi:type="dcterms:W3CDTF">2019-08-14T12:32:00Z</dcterms:created>
  <dcterms:modified xsi:type="dcterms:W3CDTF">2019-09-18T08:12:00Z</dcterms:modified>
</cp:coreProperties>
</file>